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72A9" w:rsidRDefault="009E5B9F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9F72A9" w:rsidRPr="00DF4DF2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22.03.2019r.</w:t>
      </w:r>
    </w:p>
    <w:p w:rsidR="009E1D03" w:rsidRDefault="009E1D03" w:rsidP="009E1D0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DF4DF2" w:rsidRDefault="009F72A9" w:rsidP="00826A3D">
      <w:pPr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681890" w:rsidRDefault="00681890" w:rsidP="00220DFE">
      <w:pPr>
        <w:jc w:val="center"/>
        <w:rPr>
          <w:rFonts w:ascii="Arial" w:hAnsi="Arial" w:cs="Arial"/>
          <w:sz w:val="20"/>
          <w:szCs w:val="20"/>
        </w:rPr>
      </w:pPr>
    </w:p>
    <w:p w:rsidR="00DF4DF2" w:rsidRPr="00DF4DF2" w:rsidRDefault="00DF4DF2" w:rsidP="009F72A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DF4DF2" w:rsidRPr="00014122" w:rsidRDefault="00014122" w:rsidP="00DF4DF2">
      <w:pPr>
        <w:spacing w:after="0"/>
        <w:rPr>
          <w:rFonts w:ascii="Arial" w:hAnsi="Arial" w:cs="Arial"/>
          <w:sz w:val="28"/>
          <w:szCs w:val="28"/>
        </w:rPr>
      </w:pPr>
      <w:r w:rsidRPr="00014122">
        <w:rPr>
          <w:rFonts w:ascii="Arial" w:hAnsi="Arial" w:cs="Arial"/>
          <w:sz w:val="28"/>
          <w:szCs w:val="28"/>
        </w:rPr>
        <w:t xml:space="preserve">Ministerstwo Sprawiedliwości </w:t>
      </w:r>
    </w:p>
    <w:p w:rsidR="009F72A9" w:rsidRPr="00DF4DF2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014122" w:rsidRPr="00014122" w:rsidRDefault="00014122" w:rsidP="00DF4DF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14122">
        <w:rPr>
          <w:rFonts w:ascii="Arial" w:hAnsi="Arial" w:cs="Arial"/>
          <w:i/>
          <w:sz w:val="24"/>
          <w:szCs w:val="24"/>
        </w:rPr>
        <w:t xml:space="preserve">„Prowadzenie mediacji sądowych i pozasądowych w sprawach </w:t>
      </w:r>
      <w:r w:rsidR="00293428">
        <w:rPr>
          <w:rFonts w:ascii="Arial" w:hAnsi="Arial" w:cs="Arial"/>
          <w:i/>
          <w:sz w:val="24"/>
          <w:szCs w:val="24"/>
        </w:rPr>
        <w:t>rodzinnych</w:t>
      </w:r>
      <w:r w:rsidRPr="00014122">
        <w:rPr>
          <w:rFonts w:ascii="Arial" w:hAnsi="Arial" w:cs="Arial"/>
          <w:i/>
          <w:sz w:val="24"/>
          <w:szCs w:val="24"/>
        </w:rPr>
        <w:t>”</w:t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9E5B9F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Notariuszy Rzeczypospolitej Polskiej 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(tylko w </w:t>
            </w:r>
            <w:r w:rsidR="00BB01BC">
              <w:rPr>
                <w:rFonts w:ascii="Arial" w:hAnsi="Arial" w:cs="Arial"/>
                <w:sz w:val="18"/>
                <w:szCs w:val="20"/>
              </w:rPr>
              <w:t>w</w:t>
            </w:r>
            <w:r w:rsidRPr="00AC7476">
              <w:rPr>
                <w:rFonts w:ascii="Arial" w:hAnsi="Arial" w:cs="Arial"/>
                <w:sz w:val="18"/>
                <w:szCs w:val="20"/>
              </w:rPr>
              <w:t>ypadku instytucji/organizacji)</w:t>
            </w:r>
          </w:p>
        </w:tc>
        <w:tc>
          <w:tcPr>
            <w:tcW w:w="6428" w:type="dxa"/>
            <w:hideMark/>
          </w:tcPr>
          <w:p w:rsidR="00AC7476" w:rsidRDefault="009E5B9F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Ludwika Rydygiera 17 lok U01 01-793 Warszawa</w:t>
            </w:r>
          </w:p>
        </w:tc>
      </w:tr>
      <w:tr w:rsidR="00293428" w:rsidTr="0073304F">
        <w:trPr>
          <w:trHeight w:val="552"/>
        </w:trPr>
        <w:tc>
          <w:tcPr>
            <w:tcW w:w="2802" w:type="dxa"/>
            <w:vAlign w:val="center"/>
          </w:tcPr>
          <w:p w:rsidR="00293428" w:rsidRPr="00AC7476" w:rsidRDefault="00293428" w:rsidP="00C43E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Doświadczenie zawodowe </w:t>
            </w:r>
            <w:r w:rsidR="00C43E82">
              <w:rPr>
                <w:rFonts w:ascii="Arial" w:hAnsi="Arial" w:cs="Arial"/>
                <w:sz w:val="18"/>
                <w:szCs w:val="20"/>
              </w:rPr>
              <w:t>w zakresie mediacji rodzinnych</w:t>
            </w:r>
          </w:p>
        </w:tc>
        <w:tc>
          <w:tcPr>
            <w:tcW w:w="6428" w:type="dxa"/>
          </w:tcPr>
          <w:p w:rsidR="00293428" w:rsidRDefault="00293428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9E5B9F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22 827 01 94 / 22 827 13 45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9E5B9F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snrp@rejent.com.pl</w:t>
            </w:r>
          </w:p>
        </w:tc>
      </w:tr>
    </w:tbl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Pr="00102F7E" w:rsidRDefault="00826A3D" w:rsidP="00826A3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826A3D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93364B">
        <w:trPr>
          <w:trHeight w:val="740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6941" w:type="dxa"/>
          </w:tcPr>
          <w:p w:rsidR="00025317" w:rsidRPr="000E23D2" w:rsidRDefault="00D72D07" w:rsidP="00922879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sz w:val="20"/>
                <w:szCs w:val="20"/>
              </w:rPr>
              <w:t>Nazwa kwalifikacji:</w:t>
            </w:r>
            <w:r w:rsidRPr="000E23D2">
              <w:rPr>
                <w:rFonts w:cstheme="minorHAnsi"/>
                <w:sz w:val="20"/>
                <w:szCs w:val="20"/>
              </w:rPr>
              <w:t xml:space="preserve"> </w:t>
            </w:r>
            <w:r w:rsidR="00F220F9" w:rsidRPr="000E23D2">
              <w:rPr>
                <w:rFonts w:cstheme="minorHAnsi"/>
                <w:sz w:val="20"/>
                <w:szCs w:val="20"/>
              </w:rPr>
              <w:t xml:space="preserve">Prowadzenie mediacji sądowych i pozasądowych w sprawach </w:t>
            </w:r>
            <w:r w:rsidR="00922879">
              <w:rPr>
                <w:rFonts w:cstheme="minorHAnsi"/>
                <w:sz w:val="20"/>
                <w:szCs w:val="20"/>
              </w:rPr>
              <w:t>rodzinnych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552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6941" w:type="dxa"/>
          </w:tcPr>
          <w:p w:rsidR="00025317" w:rsidRPr="000E23D2" w:rsidRDefault="00F220F9" w:rsidP="00C43E82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>Proponowany poziom Polskiej Ramy Kwalifikacji:</w:t>
            </w:r>
            <w:r w:rsidRPr="000E23D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43E82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2268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6941" w:type="dxa"/>
          </w:tcPr>
          <w:p w:rsidR="00C43E82" w:rsidRDefault="00F220F9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 xml:space="preserve">Krótka charakterystyka kwalifikacji oraz orientacyjny koszt uzyskania dokumentu potwierdzającego otrzymanie danej kwalifikacji: </w:t>
            </w:r>
            <w:r w:rsidR="00C43E82" w:rsidRPr="00C43E82">
              <w:rPr>
                <w:rFonts w:cstheme="minorHAnsi"/>
                <w:sz w:val="20"/>
                <w:szCs w:val="20"/>
              </w:rPr>
              <w:t>Osoba posiadająca kwalifikację „Prowadzenie mediacji sąd</w:t>
            </w:r>
            <w:r w:rsidR="00C43E82">
              <w:rPr>
                <w:rFonts w:cstheme="minorHAnsi"/>
                <w:sz w:val="20"/>
                <w:szCs w:val="20"/>
              </w:rPr>
              <w:t xml:space="preserve">owych i pozasądowych w sprawach </w:t>
            </w:r>
            <w:r w:rsidR="00C43E82" w:rsidRPr="00C43E82">
              <w:rPr>
                <w:rFonts w:cstheme="minorHAnsi"/>
                <w:sz w:val="20"/>
                <w:szCs w:val="20"/>
              </w:rPr>
              <w:t>rodzinnych” jest gotowa do samodzielnego prowadzenia mediacji rodzinnych zarówno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dotyczących ustalenia warunków rozstania, podziału majątku, podziału spadku, opieki nad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dziećmi, alimentów, sposobu wykonywania władzy rodzicielskiej, zarządzania firmą rodzinną, jak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i opieki nad rodzicami oraz innymi obszarami z zakresu spraw rodzinnych, takich jak: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zarządzanie finansami w rodzinie, podział obowiązków, rodzicielstwo, kontakty z rodziną w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trakcie trwania związku. Osoba posiadająca kwalifikację może prowadzić mediacje zarówno ze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>skierowania sądowego, jak i pozasądowego. Zadania te może wykonywać w ramach własnej</w:t>
            </w:r>
            <w:r w:rsidR="00C43E82">
              <w:rPr>
                <w:rFonts w:cstheme="minorHAnsi"/>
                <w:sz w:val="20"/>
                <w:szCs w:val="20"/>
              </w:rPr>
              <w:t xml:space="preserve"> </w:t>
            </w:r>
            <w:r w:rsidR="00C43E82" w:rsidRPr="00C43E82">
              <w:rPr>
                <w:rFonts w:cstheme="minorHAnsi"/>
                <w:sz w:val="20"/>
                <w:szCs w:val="20"/>
              </w:rPr>
              <w:t xml:space="preserve">działalności lub będąc zatrudniona w instytucji. </w:t>
            </w:r>
          </w:p>
          <w:p w:rsid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25317" w:rsidRP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E82">
              <w:rPr>
                <w:rFonts w:cstheme="minorHAnsi"/>
                <w:sz w:val="20"/>
                <w:szCs w:val="20"/>
              </w:rPr>
              <w:t>Orientacyjny koszt uzyskania dokumentu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3E82">
              <w:rPr>
                <w:rFonts w:cstheme="minorHAnsi"/>
                <w:sz w:val="20"/>
                <w:szCs w:val="20"/>
              </w:rPr>
              <w:t>potwierdzającego posiadanie kwalifikacji został określony na 1900 zł.</w:t>
            </w:r>
          </w:p>
        </w:tc>
        <w:tc>
          <w:tcPr>
            <w:tcW w:w="7229" w:type="dxa"/>
          </w:tcPr>
          <w:p w:rsidR="00025317" w:rsidRDefault="0090436F" w:rsidP="00C00D6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Wątpliwości co do precyzyjnego określenia zakresu kompetencji osoby posiadającej kwalifikację. Żeby nie wprowadzać chaosu pojęciowego proponuj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>emy</w:t>
            </w:r>
            <w:r>
              <w:rPr>
                <w:rFonts w:ascii="Arial" w:hAnsi="Arial" w:cs="Arial"/>
                <w:bCs/>
                <w:sz w:val="18"/>
                <w:szCs w:val="20"/>
              </w:rPr>
              <w:t>, aby „podział spadku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>”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zmienić na kodeksowy „dział spadku”. Nie jest jasne co oznacza użyte w tym punkcie „rodzicielstwo” – czy chodzi  o wymienione w dziale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, rozdział I, oddział 1 i 2 Kodeksu rodzinnego i opiekuńczego „macierzyństwo” i „ojcostwo”? Czy też o sprawy z zakresu praw i obowiązków rodziców wobec dzieci? 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>Konieczne jest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>do</w:t>
            </w:r>
            <w:r>
              <w:rPr>
                <w:rFonts w:ascii="Arial" w:hAnsi="Arial" w:cs="Arial"/>
                <w:bCs/>
                <w:sz w:val="18"/>
                <w:szCs w:val="20"/>
              </w:rPr>
              <w:t>precyzowanie.</w:t>
            </w:r>
          </w:p>
        </w:tc>
      </w:tr>
      <w:tr w:rsidR="00025317" w:rsidTr="0093364B">
        <w:trPr>
          <w:trHeight w:val="691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6941" w:type="dxa"/>
          </w:tcPr>
          <w:p w:rsidR="00025317" w:rsidRPr="000E23D2" w:rsidRDefault="000E23D2" w:rsidP="00C43E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Orientacyjny nakład pracy potrzebny do uzyskania kwalifikacji [godz.]: 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>460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6941" w:type="dxa"/>
          </w:tcPr>
          <w:p w:rsidR="00025317" w:rsidRPr="000E23D2" w:rsidRDefault="000E23D2" w:rsidP="00C43E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Grupy osób, które mogą być zainteresowane uzyskaniem kwalifikacji: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Kwalifikacją „Prowadzenie mediacji sądowych i pozasądow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ych w sprawach rodzinnych” mogą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być zainteresowani w szczególności: mediatorzy, adwokaci, r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adcy prawni, sędziowie w stanie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 xml:space="preserve">spoczynku, notariusze, psycholodzy, pedagodzy, pracownicy społeczni, </w:t>
            </w:r>
            <w:r w:rsidR="00C43E82">
              <w:rPr>
                <w:rFonts w:ascii="Arial" w:hAnsi="Arial" w:cs="Arial"/>
                <w:bCs/>
                <w:sz w:val="20"/>
                <w:szCs w:val="20"/>
              </w:rPr>
              <w:t xml:space="preserve">kuratorzy, nauczyciele, </w:t>
            </w:r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 xml:space="preserve">socjolodzy, terapeuci, trenerzy,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coachowie</w:t>
            </w:r>
            <w:proofErr w:type="spellEnd"/>
            <w:r w:rsidR="00C43E82" w:rsidRPr="00C43E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E23D2" w:rsidTr="0093364B">
        <w:trPr>
          <w:trHeight w:val="767"/>
        </w:trPr>
        <w:tc>
          <w:tcPr>
            <w:tcW w:w="562" w:type="dxa"/>
          </w:tcPr>
          <w:p w:rsidR="000E23D2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6.</w:t>
            </w:r>
          </w:p>
        </w:tc>
        <w:tc>
          <w:tcPr>
            <w:tcW w:w="6941" w:type="dxa"/>
          </w:tcPr>
          <w:p w:rsidR="000E23D2" w:rsidRPr="00BC7FD9" w:rsidRDefault="00BC7FD9" w:rsidP="00C43E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F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Wymagane kwalifikacje poprzedzające: </w:t>
            </w:r>
            <w:r w:rsidRPr="00BC7F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Kwalifikacja pełna na poziomie </w:t>
            </w:r>
            <w:r w:rsidR="00C43E82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BC7F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PRK</w:t>
            </w:r>
          </w:p>
        </w:tc>
        <w:tc>
          <w:tcPr>
            <w:tcW w:w="7229" w:type="dxa"/>
          </w:tcPr>
          <w:p w:rsidR="000E23D2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93364B">
        <w:trPr>
          <w:trHeight w:val="977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6941" w:type="dxa"/>
          </w:tcPr>
          <w:p w:rsidR="00BC7FD9" w:rsidRPr="00C43E82" w:rsidRDefault="003B57DB" w:rsidP="00C43E8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W razie potrzeby warunki, jakie musi spełniać osoba przystępująca do walidacji: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E8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1. Kwalifikacja pełna z poziomem 6 PRK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2. Przedstawie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nie 4 protokołów oraz 4 studiów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przypadku z prowadzenia mediacji rodzinnych, w tym przynajmniej 2 studia ze s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pisaną ugodą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mediacyjną (należy załączyć) i przynajmniej 2, w rama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ch których odbyły się minimum 3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spotkania wspólne stron z przeprowadzonych przez siebie mediac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ji rodzinnych z ostatnich 3 lat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przed przystąpieniem do walidacji. Dokumenty powinny być zanonim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izowane lub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pseudonimizowane</w:t>
            </w:r>
            <w:proofErr w:type="spellEnd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3. Sprawozdanie z samorozwoju w roku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poprzedzającym przystąpienie do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walidacji.</w:t>
            </w:r>
          </w:p>
        </w:tc>
        <w:tc>
          <w:tcPr>
            <w:tcW w:w="7229" w:type="dxa"/>
          </w:tcPr>
          <w:p w:rsidR="00BC7FD9" w:rsidRDefault="0090436F" w:rsidP="00C00D6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Wątpliwości o zakres i formę sprawozdania z samorozwoju. Czy ma to być informacja pisemna na temat działań wpływających na podnoszenie kwalifikacji mediatora w zakresie mediacji w sprawach rodzinnych? 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 xml:space="preserve"> D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la rozstrzygnięcia wątpliwości </w:t>
            </w:r>
            <w:r w:rsidR="00C00D6A">
              <w:rPr>
                <w:rFonts w:ascii="Arial" w:hAnsi="Arial" w:cs="Arial"/>
                <w:bCs/>
                <w:sz w:val="18"/>
                <w:szCs w:val="20"/>
              </w:rPr>
              <w:t>należałoby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doprecyzować pkt 3.</w:t>
            </w: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6941" w:type="dxa"/>
          </w:tcPr>
          <w:p w:rsidR="00C43E82" w:rsidRDefault="003B57DB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Zapotrzebowanie na kwalifikację: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10 grudnia 2005 r. weszła w życie nowelizacja Kodeksu postęp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owania cywilnego, wprowadzająca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procedurę mediacji w sprawach cywilnych, w tym także w sprawach ro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dzinnych. Ustawa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stworzyła ogromną szansę, by sprawy rodzinne, będące prze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dmiotem rozstrzygnięć sądowych,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mogły być rozwiązywane z pomocą mediatora, który wesprze 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strony w procesie bezpośrednich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 xml:space="preserve">uzgodnień. Ministerstwo Sprawiedliwości planuje zmiany w </w:t>
            </w:r>
            <w:proofErr w:type="spellStart"/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KRiO</w:t>
            </w:r>
            <w:proofErr w:type="spellEnd"/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 od 2019 r., między innymi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wprowadzając obligatoryjne rodzinne spotkania informacyjne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. Wykorzystanie tej szansy jest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szczególnie ważne wobec statystyk dotyczących liczb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y rozwodów w Polsce. Od 1980 r.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systematycznie wzrasta w Polsce liczba rozwodów. W tymże rok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u było ich 39 tys., w 2000 roku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42 tys., w 2010 roku - 61 tys., a w 2016 roku - 63 tys. Konsek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wencje społeczne tak znaczącego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wzrostu liczby orzekanych rozwodów są - i będą - bardzo pow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ażne. Spory rozwodowe są jednym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z najbardziej stresogennych i trudnych doświadczeń życiowych,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 nie tylko dla rozstających się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dorosłych, ale przede wszystkim dla ich dzieci. Rozwód czy sepa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 xml:space="preserve">racja rodziców jest dla każdego 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dziecka, bolesnym przeżyciem, które niesie ze sobą poważ</w:t>
            </w:r>
            <w:r w:rsidR="00C43E82">
              <w:rPr>
                <w:rFonts w:ascii="Arial" w:hAnsi="Arial" w:cs="Arial"/>
                <w:bCs/>
                <w:sz w:val="18"/>
                <w:szCs w:val="20"/>
              </w:rPr>
              <w:t>ne psychologiczne konsekwencje: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utratę poczucia bezpieczeństwa, lęk przed niewiadomą przys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złością, osłabienie bądź rozpad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istotnych więzi uczuciowych. Może to skutkować licznymi kons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ekwencjami/objawami takimi jak: </w:t>
            </w:r>
          </w:p>
          <w:p w:rsidR="00C43E82" w:rsidRP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trudności w nauce, zaburzenia zachowania, objawy psychosomatyczne czy problemy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C43E82">
              <w:rPr>
                <w:rFonts w:ascii="Arial" w:hAnsi="Arial" w:cs="Arial"/>
                <w:bCs/>
                <w:sz w:val="18"/>
                <w:szCs w:val="20"/>
              </w:rPr>
              <w:t>uzależnieniowe</w:t>
            </w:r>
            <w:proofErr w:type="spellEnd"/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. Należy pamiętać, że decyzje podejmowane w trakcie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rozwodu mają decydujący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wpływ na psychofizyczny rozwój dziecka uwikłanego w konfli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kt rodziców i w znaczący sposób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wpływają na jego dalsze funkcjonowanie społeczne. Naturalne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lastRenderedPageBreak/>
              <w:t>konsekwencje rozwodu rodzi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ców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dla dzieci są potęgowane przez specyfikę sądowej procedury, w której uczestniczy rodzina.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Ustawia ona rodziców w roli przeciwników, a nie sprzymie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rzeńców poszukujących wspólnego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rozwiązania. Taka konfrontacja rodzi w każdej ze stron dążenie do wygrania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zaostrza relacje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partnerów i zamienia salę sądową w pole walki, której przedmiot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em jest również często dziecko.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Procedura sądowa niejednokrotnie nie gwarantuje zachowan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równowagi pomiędzy stronami,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powoduje podział na wygranych i przegranych, a to oznacza 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lsze kłopoty dla rodziny, nawet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już po zalegalizowaniu jej rozpadu. Rodzą się typowe dla rozwodu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emocje takie jak: żal, poczucie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pokrzywdzenia, złość, bezradność, chęć odwetu. Siła tych emo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cji powoduje często nietrwałość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rozstrzygnięć sądowych. Sprawy wracają kolejny raz na wok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andę (wnioski o zmianę wyroku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części dotyczącej władzy rodzicielskiej/kontaktów z dzieckiem, ali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mentów) i cała historia walki 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wygraną powtarza się po raz kolejny. Jak pokazują wyniki badań, zasto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sowanie mediacji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sprawach rozwodowych może przynieść następujące korz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yści: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1. Pomaga rodzicom lepiej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skoncentrować się na potrzebach dzieci;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2. Pozwala na wypra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cowanie rozwiązań dostosowanych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do potrzeb konkretnej rodziny-zindywidualizowanych i adekwatnych;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3. Zwiększa szansę na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zapewnienie dziecku stabilnej przyszłości, a tym samym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poczucia bezpieczeństwa poprzez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wypracowanie rozwiązań bardziej szczegółowych niż rozstrzygnięcia sądowe; </w:t>
            </w:r>
          </w:p>
          <w:p w:rsid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4. Prowadzi do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rozwiązań, które są trwałe, za które strony czują się odpowi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edzialne; 5. Pomaga małżonkom w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zachowaniu poprawnych relacji po rozwodzie, które pozw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alają na wspólne uczestnictwo i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zaangażowanie w wychowanie wspólnych dzieci. </w:t>
            </w:r>
          </w:p>
          <w:p w:rsidR="00C43E82" w:rsidRPr="00C43E82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>Ze statyst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yk Ministerstwa Sprawiedliwości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wynika, iż w okresie od wprowadzenia w życie ustawy, cz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yli od 10 grudnia 2005 do końca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grudnia 2016 roku liczba spraw skierowanych do mediacji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rodzinnych systematycznie, choć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powoli, wzrasta. W 2006 roku do mediacji rodzinnej skierowa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no 127 spraw, w 2010 roku – 439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spraw a w 2015 roku 856 spraw. Praktykujący mediatorzy wskazują też, że znacząco zwiększa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się liczba spraw, w których strony z własnej inicjatywy (bez skierowania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sądu) podejmują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mediacje przed lub w trakcie trwania spraw rozwodowych.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Można zatem wnosić, że </w:t>
            </w: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mediacja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rodzinna staje się powoli skutecznym instrumen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tem minimalizowania negatywnych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konsekwencji rozwodu wobec wszystkich członków rodziny, prz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ede wszystkim dzieci. Włączenie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kwalifikacji „Prowadzenie mediacji sądowych i pozasądowyc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h w sprawach rodzinnych” do ZSK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będzie uzupełnieniem standardów prowadzenia mediacji oprac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owanych i przyjętych 26.06.2006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przez Społeczną Radę do spraw Alternatywnych Metod Rozwiąz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ywania Konfliktów i Sporów przy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Ministrze Sprawiedliwości. Standardy te określają kompetencje mediatora na poziomie ogólnym.</w:t>
            </w:r>
          </w:p>
          <w:p w:rsidR="00BC7FD9" w:rsidRPr="00EE51B1" w:rsidRDefault="00C43E82" w:rsidP="00C43E8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43E82">
              <w:rPr>
                <w:rFonts w:ascii="Arial" w:hAnsi="Arial" w:cs="Arial"/>
                <w:bCs/>
                <w:sz w:val="18"/>
                <w:szCs w:val="20"/>
              </w:rPr>
              <w:t xml:space="preserve">Opracowana kwalifikacja może też skutkować zwiększeniem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zaufania sędziów i prawników do </w:t>
            </w:r>
            <w:r w:rsidRPr="00C43E82">
              <w:rPr>
                <w:rFonts w:ascii="Arial" w:hAnsi="Arial" w:cs="Arial"/>
                <w:bCs/>
                <w:sz w:val="18"/>
                <w:szCs w:val="20"/>
              </w:rPr>
              <w:t>korzystania z mediacji rodzinnej.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9.</w:t>
            </w:r>
          </w:p>
        </w:tc>
        <w:tc>
          <w:tcPr>
            <w:tcW w:w="6941" w:type="dxa"/>
          </w:tcPr>
          <w:p w:rsidR="00C43E82" w:rsidRPr="00C43E82" w:rsidRDefault="00EE51B1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EE51B1">
              <w:rPr>
                <w:rFonts w:cstheme="minorHAnsi"/>
                <w:b/>
                <w:color w:val="333333"/>
                <w:sz w:val="18"/>
                <w:szCs w:val="18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cstheme="minorHAnsi"/>
                <w:b/>
                <w:color w:val="333333"/>
                <w:sz w:val="18"/>
                <w:szCs w:val="18"/>
              </w:rPr>
              <w:t xml:space="preserve">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W Zintegrowanym Rejestrze Kwalifikacji znajdują się dwie k</w:t>
            </w:r>
            <w:r w:rsidR="00C43E82">
              <w:rPr>
                <w:rFonts w:cstheme="minorHAnsi"/>
                <w:color w:val="333333"/>
                <w:sz w:val="18"/>
                <w:szCs w:val="18"/>
              </w:rPr>
              <w:t xml:space="preserve">walifikacje rynkowe o zbliżonym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charakterze. Są to kwalifikacje: „Prowadzenie mediacji sądowych i pozasądowych w sprawach</w:t>
            </w:r>
            <w:r w:rsidR="00C43E82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="00C43E82" w:rsidRPr="00C43E82">
              <w:rPr>
                <w:rFonts w:cstheme="minorHAnsi"/>
                <w:color w:val="333333"/>
                <w:sz w:val="18"/>
                <w:szCs w:val="18"/>
              </w:rPr>
              <w:t>cywilnych” i „Prowadzenie mediacji sądowych i pozasądowych w sprawach gospodarczych”.</w:t>
            </w:r>
          </w:p>
          <w:p w:rsidR="00C43E82" w:rsidRP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C43E82">
              <w:rPr>
                <w:rFonts w:cstheme="minorHAnsi"/>
                <w:color w:val="333333"/>
                <w:sz w:val="18"/>
                <w:szCs w:val="18"/>
              </w:rPr>
              <w:t>Kwalifikacja „Prowadzenie mediacji sądowych i pozasądowych w sprawach gospodarczych” 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posiada wspólnych efektów uczenia się z przedmiotową kwalifikacją. Kwalifikacja „Prowadzenie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mediacji sądowych i pozasądowych w sprawach cywilnych” dotyczy spraw cywilnych w szerokim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zakresie, natomiast nie jest ukierunkowana na aspekty prawa rodzinnego i specyfikę pracy z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konfliktem rodzinnym. Część efektów uczenia się właściwa dla kwalifikacji może być wspólna z</w:t>
            </w:r>
          </w:p>
          <w:p w:rsidR="00BC7FD9" w:rsidRPr="00EE51B1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C43E82">
              <w:rPr>
                <w:rFonts w:cstheme="minorHAnsi"/>
                <w:color w:val="333333"/>
                <w:sz w:val="18"/>
                <w:szCs w:val="18"/>
              </w:rPr>
              <w:t>efektami kształcenia na wybranych kierunkach studiów oraz studiów podyplomowych z zakresu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mediacji rodzinnych. Charakter efektów uczenia się jest na tyle różny, że bezpośrednie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odniesienie ich do efektów uczenia się wymaganych dla kwalifikacji „Prowadzenie mediacji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sądowych i pozasądowych w sprawach rodzinnych” nie jest zasadne. Należy podkreślić, że w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ramach systemu szkolnictwa wyższego posiadanie efektów kształcenia, pokrywających się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zakresem z opisaną kwalifikacją rynkową, nie może zostać potwierdzone w całości w wyniku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 xml:space="preserve">walidacji uczenia się </w:t>
            </w:r>
            <w:proofErr w:type="spellStart"/>
            <w:r w:rsidRPr="00C43E82">
              <w:rPr>
                <w:rFonts w:cstheme="minorHAnsi"/>
                <w:color w:val="333333"/>
                <w:sz w:val="18"/>
                <w:szCs w:val="18"/>
              </w:rPr>
              <w:t>pozaformalnego</w:t>
            </w:r>
            <w:proofErr w:type="spellEnd"/>
            <w:r w:rsidRPr="00C43E82">
              <w:rPr>
                <w:rFonts w:cstheme="minorHAnsi"/>
                <w:color w:val="333333"/>
                <w:sz w:val="18"/>
                <w:szCs w:val="18"/>
              </w:rPr>
              <w:t xml:space="preserve"> i nieformalnego. Włączenie kwalifikacji do ZSK umożliwi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potwierdzenie kompetencji przez osoby, które chcą skorzystać z równoważnej do formalnej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C43E82">
              <w:rPr>
                <w:rFonts w:cstheme="minorHAnsi"/>
                <w:color w:val="333333"/>
                <w:sz w:val="18"/>
                <w:szCs w:val="18"/>
              </w:rPr>
              <w:t>ścieżki uczenia się przez całe życie.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6941" w:type="dxa"/>
          </w:tcPr>
          <w:p w:rsidR="00F70307" w:rsidRPr="00F70307" w:rsidRDefault="00003578" w:rsidP="00F70307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Typowe możliwości wykorzystania kwalifikacji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Osoba posiadająca kwalifikację „Prowadzenie mediacji sąd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owych i pozasądowych w sprawach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rodzinnych” może prowadzić mediacje rodzinne między innymi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w ramach: własnej działalności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gospodarczej, ośrodków i poradni psychologicznych, NG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 pracujących na rzecz rodziny,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jednostek systemu pomocy społecznej, kancelarii adwokackich i radcowskich oraz w ramach</w:t>
            </w:r>
          </w:p>
          <w:p w:rsidR="00BC7FD9" w:rsidRPr="00003578" w:rsidRDefault="00F70307" w:rsidP="00F70307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>punktów świadczenia nieodpłatnych porad prawnych (w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ejście w życie przepisów w dniu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1/01/2019 r.).</w:t>
            </w:r>
          </w:p>
        </w:tc>
        <w:tc>
          <w:tcPr>
            <w:tcW w:w="7229" w:type="dxa"/>
          </w:tcPr>
          <w:p w:rsidR="00BC7FD9" w:rsidRDefault="00C00D6A" w:rsidP="00C00D6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Należy d</w:t>
            </w:r>
            <w:r w:rsidR="0090436F">
              <w:rPr>
                <w:rFonts w:ascii="Arial" w:hAnsi="Arial" w:cs="Arial"/>
                <w:bCs/>
                <w:sz w:val="18"/>
                <w:szCs w:val="20"/>
              </w:rPr>
              <w:t>odać „ośrodków mediacyjnych”</w:t>
            </w: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003578" w:rsidP="0093364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Wymagania dotyczące walidacji i podmiotów przeprowadzających walidację: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Etap weryfikacji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1.1. Metody. Weryfikacja efektów uczenia się składa się z dwóch części.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części pierwszej obejmującej weryfikację efektów uczenia się z zestawów 1, 2 i 3 stosuje się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wyłącznie metodę: testu teoretycznego. Warunkiem przystąpienia do drugiej części weryfikacji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jest zaliczenie części pierwszej. W drugiej części stosuje się metodę analizy dowodów i deklaracji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uzupełnioną rozmową z komisją. Możliwe jest uzupełnienie tych metod obserwacją w warunkach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symulowanych. Część druga weryfikacji obejmuje wszystkie zestawy efektów uczenia się. 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ramach analizy dowodów i deklaracji, dowodem muszą być 4 protokoły oraz 4 studia przypadku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z prowadzenia mediacji rodzinnych, w tym przynajmniej 2 studia ze spisaną ugodą mediacyjną 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przynajmniej 2, w ramach których odbyły się minimum 3 spotkania wspólne stron 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przeprowadzonych przez siebie mediacji rodzinnych z ostatnich 3 lat przed przystąpieniem do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walidacji. Dokumenty powinny być zanonimizowane lub </w:t>
            </w:r>
            <w:proofErr w:type="spellStart"/>
            <w:r w:rsidRPr="00F70307">
              <w:rPr>
                <w:rFonts w:ascii="Arial" w:hAnsi="Arial" w:cs="Arial"/>
                <w:bCs/>
                <w:sz w:val="18"/>
                <w:szCs w:val="20"/>
              </w:rPr>
              <w:t>pseudonimizowane</w:t>
            </w:r>
            <w:proofErr w:type="spellEnd"/>
            <w:r w:rsidRPr="00F70307">
              <w:rPr>
                <w:rFonts w:ascii="Arial" w:hAnsi="Arial" w:cs="Arial"/>
                <w:bCs/>
                <w:sz w:val="18"/>
                <w:szCs w:val="20"/>
              </w:rPr>
              <w:t>. Kolejnym dowodem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musi być sprawozdanie z samorozwoju w roku poprzedzającym przystąpienie do walidacji.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1.2. Zasoby kadrowe.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Weryfikację efektów uczenia się dla kwalifikacji przeprowadza trzyosobowa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komisja. Każdy z członków komisji walidacyjnej musi spełniać następujące wymogi: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wykształcenie wyższe magisterskie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 ukończone studia lub szkolenie z zakresu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rodzinnych (min. 80 godzin);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• stosuje zasady etyki zawodowej mediatora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zna i stosuje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aktualnie obowiązujące regulacje prawne w zakresie mediacji;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•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zna i stosuje standardy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prowadzenia mediacji i postępowania mediatora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opracowane przez Społeczną Radę ds.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Alternatywnych Metod Rozwiązywania Sporów i Konfliktów przy Ministrze Sprawiedliwości oraz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standardy prowadzenia mediacji rodzinnej Stowarzyszenia Mediatorów Rodzinnych;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posiada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pełną zdolność do czynności prawnych i pełnię praw publicznych;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stosuje kryteria weryfikacji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przypisane do efektów uczenia się dla opisywanej kwalifikacji oraz kryteria oceny formalnej 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merytorycznej dowodów na posiadanie efektów uczenia się właściwych dla opisywanej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kwalifikacji;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>• stosuje zasady prowadzenia weryfikacji, a także różne metody weryfikacji efektów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uczenia się, zgodnie z celami walidacji i zasadami Zintegrowanego Systemu Kwalifikacji;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posiada minimum 8-letnie doświadczenie w pracy mediatora rodzinnego (oświadczenie);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•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posiada doświadczenie w prowadzeniu szkoleń przygotowujących do roli mediatora rodzinnego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(minimum 5 udokumentowanych referencjami lub umowami przeprowadzonych szkoleń). </w:t>
            </w:r>
          </w:p>
          <w:p w:rsidR="00F70307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1.3. Sposób organizacji walidacji oraz warunki organizacyjne i materialne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Podczas walidacji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instytucja certyfikująca ma obowiązek zapewnić warunki do przeprowadzenia walidacji. </w:t>
            </w:r>
          </w:p>
          <w:p w:rsidR="00F70307" w:rsidRPr="00F70307" w:rsidRDefault="00F70307" w:rsidP="00F703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2. Etapy identyfikowania i dokumentowania.</w:t>
            </w:r>
          </w:p>
          <w:p w:rsidR="00EE51B1" w:rsidRPr="00003578" w:rsidRDefault="00F70307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70307">
              <w:rPr>
                <w:rFonts w:ascii="Arial" w:hAnsi="Arial" w:cs="Arial"/>
                <w:bCs/>
                <w:sz w:val="18"/>
                <w:szCs w:val="20"/>
              </w:rPr>
              <w:t xml:space="preserve"> Nie określa się wymagań dotyczących etapu identyfikowania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70307">
              <w:rPr>
                <w:rFonts w:ascii="Arial" w:hAnsi="Arial" w:cs="Arial"/>
                <w:bCs/>
                <w:sz w:val="18"/>
                <w:szCs w:val="20"/>
              </w:rPr>
              <w:t>i dokumentowania.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EE51B1" w:rsidRPr="00FA5AA0" w:rsidRDefault="00FA5AA0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Syntetyczna charakterystyka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Osoba posiadająca kwalifikację „Prowadzenie mediacji sąd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owych i pozasądowych w sprawach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rodzinnych” jest gotowa do samodzielnego prowadzenia procesu mediacji rodzinnych. W swojej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pracy, współpracuje z sądem oraz innymi specjalistami np. adwokatem, psychologiem. Działania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podejmowane przez osobę posiadającą kwalifikację wspierają uzgadnianie ugody mediacyjnej w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sytuacjach konfliktów rodzinnych, w tym dotyczących opieki nad dziećmi. Ponadto osoba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posiadająca tę kwalifikację styka się w swojej pracy ze złożonymi i trudnymi do przewidzenia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problemami dotykającymi całego systemu rodzinnego. Wykonując swoje zadania bierze pod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uwagę wielość możliwych uwarunkowań zaistniałego problemu rodzinnego i konsekwencji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związanych z uzgodnionymi rozwiązaniami. Wykorzystuje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>wiedzę z zakresu psychologii dziecka i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psychologii konfliktu. Posługując się tą wiedzą, włącza perspektywę dzieci do procesu mediacji.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Pracuje zgodnie z metodyką prowadzenia mediacji i zasadami etyki zawodowej mediatora.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Stosuje zaawansowane techniki komunikacyjne, w tym szereg technik budowania zrozumienia.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Samodzielnie planuje i realizuje ścieżkę swojego rozwoju zawodowego. Jest świadoma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konieczności uczestnictwa w procesie </w:t>
            </w:r>
            <w:proofErr w:type="spellStart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, w celu zachowania najwyższych standardów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pracy z klientami. Wykonywanie zadań zawodowych z zakresu tej kwalifikacji, wiąże się z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wysokim poziomem odpowiedzialności społecznej.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FA5AA0" w:rsidRDefault="00FA5AA0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nr.1: </w:t>
            </w:r>
          </w:p>
          <w:p w:rsidR="00F70307" w:rsidRDefault="00FA5AA0" w:rsidP="00F70307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Zawieranie kontraktu mediacyjnego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>80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="00F70307"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Pozyskuje informacje o stronach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F7030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Opisuje kategorie informacji, które powinien pozy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skać przed rozpoczęciem procesu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mediacyjnego (np. zgoda stron, język, którym posługują się s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trony, tryb sesji, oczekiwania,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nadzieje);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Pozyskuje informacje o stronach mediacji i ic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t xml:space="preserve">h oczekiwaniach; </w:t>
            </w:r>
            <w:r w:rsidR="00F7030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cele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stron mediacji w oparciu o ich oczekiwania.</w:t>
            </w:r>
          </w:p>
          <w:p w:rsidR="00F70307" w:rsidRDefault="00FA5AA0" w:rsidP="00F70307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F70307" w:rsidRPr="00F70307">
              <w:rPr>
                <w:rFonts w:ascii="Arial" w:hAnsi="Arial" w:cs="Arial"/>
                <w:b/>
                <w:bCs/>
                <w:sz w:val="18"/>
                <w:szCs w:val="20"/>
              </w:rPr>
              <w:t>Informuje o zakresie i zasadach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BD66C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Opisuje przebieg mediacji (np. rola mediatora, etapy me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diacji, czas);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zasady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prowadzenia mediacji: dobrowolność, neutralność, pou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>fność i bezstronność;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 - Opisuje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warunki gotowości stron do podjęcia mediacji rodzinnych (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np. umiejętność reprezentowania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własnych interesów i potrzeb, gotowość do dzielenia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się ważnymi informacjami w celu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zawarcia porozumienia);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- Opisuje przyczyny, dla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których zaburzenia psychiczne i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emocjonalne mogą uniemożliwić prowadzenie mediacji;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 Opisuje przyczyny, dla których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relacje </w:t>
            </w:r>
            <w:proofErr w:type="spellStart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przemocowe</w:t>
            </w:r>
            <w:proofErr w:type="spellEnd"/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 mogą uniemożliwić prowadzenie mediacji;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przyczyny, dla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których uzależnienia mogą uniemożliwić prowadzenie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mediacji rodzinnych;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rolę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mediatora dbającego o dobro dziecka tzw. ”adwokat dziecka";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różnice między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prowadzeniem mediacji rodzinnych a terapią rodzin;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- Stosu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je metody i techniki określenia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 xml:space="preserve">kierunku mediacji w sytuacji, gdy jeden z partnerów chce się rozstać, a drugi nie;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Uzyskuje </w:t>
            </w:r>
            <w:r w:rsidR="00F70307" w:rsidRPr="00F70307">
              <w:rPr>
                <w:rFonts w:ascii="Arial" w:hAnsi="Arial" w:cs="Arial"/>
                <w:bCs/>
                <w:sz w:val="18"/>
                <w:szCs w:val="20"/>
              </w:rPr>
              <w:t>ostateczną zgodę stron na prowadzenie mediacji.</w:t>
            </w:r>
          </w:p>
          <w:p w:rsidR="00EF4D40" w:rsidRPr="00EF4D40" w:rsidRDefault="00EF4D40" w:rsidP="00EF4D4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="00BD66C7" w:rsidRPr="00BD66C7">
              <w:rPr>
                <w:rFonts w:ascii="Arial" w:hAnsi="Arial" w:cs="Arial"/>
                <w:b/>
                <w:bCs/>
                <w:sz w:val="18"/>
                <w:szCs w:val="20"/>
              </w:rPr>
              <w:t>Uzgadnia zasady finansowania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 w:rsidR="00BD66C7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- Opisuje możliwe sposoby finansowania i organizacji proc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esu mediacji (np. sąd, płatność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prywatna, możliwość dofinansowania mediacji przez jednostki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 pomocy i integracji społecznej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lub NGO, warunki odwołania spotkania, zmiana terminu);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 - Wymienia informacje o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 xml:space="preserve">finansowaniu, które powinien podać stronom; 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- Opisuj</w:t>
            </w:r>
            <w:r w:rsidR="00BD66C7">
              <w:rPr>
                <w:rFonts w:ascii="Arial" w:hAnsi="Arial" w:cs="Arial"/>
                <w:bCs/>
                <w:sz w:val="18"/>
                <w:szCs w:val="20"/>
              </w:rPr>
              <w:t xml:space="preserve">e finansowanie przeprowadzonych </w:t>
            </w:r>
            <w:r w:rsidR="00BD66C7" w:rsidRPr="00BD66C7">
              <w:rPr>
                <w:rFonts w:ascii="Arial" w:hAnsi="Arial" w:cs="Arial"/>
                <w:bCs/>
                <w:sz w:val="18"/>
                <w:szCs w:val="20"/>
              </w:rPr>
              <w:t>mediacji.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4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6941" w:type="dxa"/>
          </w:tcPr>
          <w:p w:rsidR="00EF4D40" w:rsidRDefault="00EF4D40" w:rsidP="00EF4D4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nr.2: </w:t>
            </w:r>
          </w:p>
          <w:p w:rsidR="008B37B2" w:rsidRDefault="00EF4D40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Prowadzenie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>300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B74A2E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="008B37B2"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Konstruuje agendę mediacji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8B37B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Opisuje metody umożliwiające każdej ze stron pokazan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ie swojej perspektywy i swojego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rozumienia postrzegania problemu;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Przedstawia perspekt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ywę postrzegania problemu przez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każdą stronę konfliktu;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Podaje przykłady przeformułowan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ia żądań lub zarzutów na tematy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do mediacji;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Przedstawia listę tematów do mediacji zaakceptowaną przez obie strony.</w:t>
            </w:r>
          </w:p>
          <w:p w:rsidR="00FA5AA0" w:rsidRDefault="00B74A2E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8B37B2"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budowanie wzajemnego zrozumienia potrzeb u stron konfliktu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8B37B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Stosuje techniki docierania do potrzeb stron mediacji i innych osób, których konflik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t dotyka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(np. dzieci, nowi partnerzy, dziadkowie);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- Opisuje rolę emocji i pracy z nimi w procesie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mediacji;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Stosuje techniki pracy z emocjami;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-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Identyfikuje blokady w zawarciu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 xml:space="preserve">porozumienia (np. poczucie krzywdy, diabelskie koło, szkodliwe przekonania) </w:t>
            </w:r>
            <w:r w:rsidR="008B37B2">
              <w:rPr>
                <w:rFonts w:ascii="Arial" w:hAnsi="Arial" w:cs="Arial"/>
                <w:bCs/>
                <w:sz w:val="18"/>
                <w:szCs w:val="20"/>
              </w:rPr>
              <w:t xml:space="preserve">i opisuje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mechanizmy ich działania.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Stosuje techniki budowania zrozumienia w mediacjach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techniki budowania zrozumienia w trakcie pr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owadzenia mediacji (np. pytania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cyrkularne, zamiana ról, podwojenie);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Stosuje techniki b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udowania zrozumienia, uzasadnia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wybór;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konsekwencje zastosowania wybranych technik.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Stosuje techniki komunikacji interpersonalnej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Posługuje się poprawnie językiem polskim i stosuje techniki komunikacji interpersonalnej;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Formułuje parafrazę;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Formułuje klaryfikację;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Formułuje podsumowanie;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Formułuje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przeformułowanie.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Włącza perspektywę dzieci do procesu mediacji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 Opisuje potrzeby i reakcje dzieci w sytuacji rozstania rodziców;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modele opieki nad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dzieckiem po rozstaniu rodziców;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Stosuje techniki wprowadzania persp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ektywy dzieci do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mediacji;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Opisuje warunki bezpośredniego udziału dzieci w mediacjach.</w:t>
            </w:r>
          </w:p>
          <w:p w:rsid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F.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kreowanie opcji rozwiązań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techniki wspierające kreowanie opcji rozwiązań przez strony mediacji;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Stosuje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techniki wspierające kreowanie opcji rozwiązań przez strony mediacji.</w:t>
            </w:r>
          </w:p>
          <w:p w:rsidR="008B37B2" w:rsidRPr="008B37B2" w:rsidRDefault="008B37B2" w:rsidP="008B37B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G.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uzgadnianie rozwiązań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kryteria stosowane przy uzgadnianiu rozwiązań;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metody wspierające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podejmowanie decyzji (np. analiza SWOT, mapa pola 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ił, słomiane głosowanie, próbne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testowanie);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Stosuje techniki wspierające podejmowanie decyzji;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- Weryfikuje przykładowe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rozwiązania które optymalnie zabezpieczają interesy dziecka.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H. </w:t>
            </w:r>
            <w:r w:rsidRPr="008B37B2">
              <w:rPr>
                <w:rFonts w:ascii="Arial" w:hAnsi="Arial" w:cs="Arial"/>
                <w:b/>
                <w:bCs/>
                <w:sz w:val="18"/>
                <w:szCs w:val="20"/>
              </w:rPr>
              <w:t>Wspiera konstruowanie ugody mediacyjnej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Kryteria Weryfikacji: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- Opisuje wybraną metodologię konstruowania celów (np. SMART);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sposoby oraz 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zasady przygotowania ugody mediacyjnej;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- Konstru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uje zapisy ugody mediacyjnej;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-</w:t>
            </w:r>
            <w:r w:rsidRPr="008B37B2">
              <w:rPr>
                <w:rFonts w:ascii="Arial" w:hAnsi="Arial" w:cs="Arial"/>
                <w:bCs/>
                <w:sz w:val="18"/>
                <w:szCs w:val="20"/>
              </w:rPr>
              <w:t>Prezentuje i omawia zapisy ugody mediacyjnej.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B74A2E" w:rsidRDefault="00B74A2E" w:rsidP="00B74A2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nr.3: </w:t>
            </w:r>
          </w:p>
          <w:p w:rsidR="00330E74" w:rsidRPr="006F2550" w:rsidRDefault="00B74A2E" w:rsidP="006F255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8B37B2" w:rsidRPr="008B37B2">
              <w:rPr>
                <w:rFonts w:ascii="Arial" w:hAnsi="Arial" w:cs="Arial"/>
                <w:bCs/>
                <w:sz w:val="18"/>
                <w:szCs w:val="20"/>
              </w:rPr>
              <w:t>Współpraca z innymi specjalistami i instytucjami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t>Rodzaj zestawu: obowiązkowy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Współpracuje z sądem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aktualne przepisy dotyczące mediacji rodzinnych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i obowiązki mediatora względem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sądu;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aktualne przepisy prawne dotyczące: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rozwodu, alimentów, opieki nad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dzieckiem, podziału majątku, sposobu wykonywania władzy rodzicielskiej;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Sporządza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protokół z mediacji zgodnie z przepisami kodeksu postępowania cywilnego;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Na podstawie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projektu ugody ocenia możliwość zatwierdzenia przez są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d; - Wskazuje w jakich sprawach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rodzinnych, co do jakich praw nie jest dopuszczalne zawarcie ugody;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Wyjaśnia stronom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konsekwencje wynikające z zawarcia ugody i jej ewentualnego niewykonania.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Ocenia i uzasadnia konieczność współpracy z adwokatami i notariuszami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należy skierować klientów do no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tariusza;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sytuacje, w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których należy zaproponować klientom ko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nsultacje z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adwokatem;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sytuacje, w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których adwokaci stron uczestniczą w procesie mediacji;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Analizuje sytuację pod kątem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potrzeby współpracy z notariuszem lub adwokatem;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- Opisuje warunki współpracy z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adwokatami i notariuszami w ramach mediacji.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Ocenia i uzasadnia konieczność oraz warunki współpracy z psychologiem dziecięcym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najważniejsze potrzeby dziecka na różnych etapach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rozwoju oraz charakteryzuje je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 kontekście sytuacji rodzinnej;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należy zachęcić klientów do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skorzystania z usług psychologa dziecięcego;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psycholog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dziecięcy może uczestniczyć w procesie mediacji;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Analizuje sytuację pod kątem potrzeby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współpracy z psychologiem dziecięcym;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warunki współpracy z psychologiem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dziecięcym w ramach mediacji.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Opisuje specyfikę pracy w parze mediacyjnej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Opisuje sytuacje, w których warto pracować z drug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im mediatorem;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zasady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prowadzenie mediacji w parze mediacyjnej.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F4D40" w:rsidTr="0073304F">
        <w:trPr>
          <w:trHeight w:val="1304"/>
        </w:trPr>
        <w:tc>
          <w:tcPr>
            <w:tcW w:w="562" w:type="dxa"/>
          </w:tcPr>
          <w:p w:rsidR="00EF4D4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Default="00330E74" w:rsidP="00330E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nr.4: </w:t>
            </w:r>
          </w:p>
          <w:p w:rsidR="00EF4D40" w:rsidRDefault="00330E74" w:rsidP="00330E7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Planowanie samorozwoju i etyka zawodowa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</w:p>
          <w:p w:rsidR="00330E74" w:rsidRDefault="00330E74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Przestrzega zasad etyki zawodu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Analizuje przeprowadzone mediacje pod względem kwestii etycznych;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- Opisuje kodeks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etyki zawodowej mediatora przyjęty przez Społec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zną Radę ds. ADR przy Ministrze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Sprawiedliwości;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Opisuje sytuację w pracy mediatora,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w której może zaistnieć dylemat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etyczny;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Proponuje rozwiązania tego dylematu i omawia ich konsekwencje.</w:t>
            </w:r>
          </w:p>
          <w:p w:rsidR="00330E74" w:rsidRPr="006F2550" w:rsidRDefault="00DB69BF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="006F2550" w:rsidRPr="006F2550">
              <w:rPr>
                <w:rFonts w:ascii="Arial" w:hAnsi="Arial" w:cs="Arial"/>
                <w:b/>
                <w:bCs/>
                <w:sz w:val="18"/>
                <w:szCs w:val="20"/>
              </w:rPr>
              <w:t>Tworzy ścieżkę samorozwoju w roli mediatora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6F2550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Przedstawia sprawozdanie z samorozwoju w roku poprzedzającym przystąpienie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do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walidacji;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Identyfikuje swoje mocne i słabe strony w zakresie prowadzenia mediacji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- Wymienia działania redukujące swoje słabe strony w zakresie prowadzenia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mediacji 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- Opisuje wnioski z dwóch sesji </w:t>
            </w:r>
            <w:proofErr w:type="spellStart"/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, w których uczestniczył jako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mediator.</w:t>
            </w:r>
          </w:p>
        </w:tc>
        <w:tc>
          <w:tcPr>
            <w:tcW w:w="7229" w:type="dxa"/>
          </w:tcPr>
          <w:p w:rsidR="00EF4D40" w:rsidRDefault="00EF4D4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330E74" w:rsidTr="0073304F">
        <w:trPr>
          <w:trHeight w:val="1304"/>
        </w:trPr>
        <w:tc>
          <w:tcPr>
            <w:tcW w:w="562" w:type="dxa"/>
          </w:tcPr>
          <w:p w:rsidR="00330E74" w:rsidRDefault="00933395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19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Pr="006F2550" w:rsidRDefault="00DB69BF" w:rsidP="006F255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Okres ważności dokumentu potwierdzającego nadanie kwalifikacji i warunki przedłużenia jego ważności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Ważność certyfikatu: 6 lat.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Warunki odnowienia certyfika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tu: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• Przygotowanie i omówienie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podczas rozmowy z komisją 2 studiów przypadku z przeprow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adzonych mediacji rodzinnych;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•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 xml:space="preserve">Zaświadczenie od superwizora o uczestnictwie w przynajmniej 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4 sesjach </w:t>
            </w:r>
            <w:proofErr w:type="spellStart"/>
            <w:r w:rsidR="006F2550">
              <w:rPr>
                <w:rFonts w:ascii="Arial" w:hAnsi="Arial" w:cs="Arial"/>
                <w:bCs/>
                <w:sz w:val="18"/>
                <w:szCs w:val="20"/>
              </w:rPr>
              <w:t>superwizji</w:t>
            </w:r>
            <w:proofErr w:type="spellEnd"/>
            <w:r w:rsidR="006F2550">
              <w:rPr>
                <w:rFonts w:ascii="Arial" w:hAnsi="Arial" w:cs="Arial"/>
                <w:bCs/>
                <w:sz w:val="18"/>
                <w:szCs w:val="20"/>
              </w:rPr>
              <w:t xml:space="preserve"> z mediacji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rodzinnych.</w:t>
            </w:r>
            <w:r w:rsidR="006F2550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Nazwa dokumentu potwierdzającego nadanie kwalifikacji</w:t>
            </w:r>
            <w:r w:rsid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Certyfikat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Uprawnienia związane z posiadaniem kwalifikacji: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 Nie dotyczy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dziedziny kształcenia: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6F2550" w:rsidRPr="006F2550">
              <w:rPr>
                <w:rFonts w:ascii="Arial" w:hAnsi="Arial" w:cs="Arial"/>
                <w:bCs/>
                <w:sz w:val="18"/>
                <w:szCs w:val="20"/>
              </w:rPr>
              <w:t>3 - Nauki społeczne, gospodarka i prawo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PKD: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3364B" w:rsidRPr="0093364B">
              <w:rPr>
                <w:rFonts w:ascii="Arial" w:hAnsi="Arial" w:cs="Arial"/>
                <w:bCs/>
                <w:sz w:val="18"/>
                <w:szCs w:val="20"/>
              </w:rPr>
              <w:t>69.1 - Działalność prawnicza</w:t>
            </w:r>
          </w:p>
        </w:tc>
        <w:tc>
          <w:tcPr>
            <w:tcW w:w="7229" w:type="dxa"/>
          </w:tcPr>
          <w:p w:rsidR="00330E74" w:rsidRDefault="00330E74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3364B" w:rsidTr="0073304F">
        <w:trPr>
          <w:trHeight w:val="1304"/>
        </w:trPr>
        <w:tc>
          <w:tcPr>
            <w:tcW w:w="562" w:type="dxa"/>
          </w:tcPr>
          <w:p w:rsidR="0093364B" w:rsidRDefault="0093364B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0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Pr="00DB69BF" w:rsidRDefault="0093364B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Dodatkowe uwagi: </w:t>
            </w:r>
          </w:p>
        </w:tc>
        <w:tc>
          <w:tcPr>
            <w:tcW w:w="7229" w:type="dxa"/>
          </w:tcPr>
          <w:p w:rsidR="0093364B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2312" w:rsidRDefault="0051231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="00684A7C">
        <w:rPr>
          <w:rFonts w:ascii="Arial" w:hAnsi="Arial" w:cs="Arial"/>
          <w:sz w:val="20"/>
          <w:szCs w:val="20"/>
        </w:rPr>
        <w:t xml:space="preserve">aweł Orłowski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Anna Dańko – Roesler</w:t>
      </w:r>
    </w:p>
    <w:p w:rsidR="00512312" w:rsidRDefault="00512312" w:rsidP="00DF4DF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12312" w:rsidRDefault="0051231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2312" w:rsidRDefault="0051231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Członek Zarządu  SNRP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Prezes Zarządu SNRP</w:t>
      </w:r>
      <w:r>
        <w:rPr>
          <w:rFonts w:ascii="Arial" w:hAnsi="Arial" w:cs="Arial"/>
          <w:sz w:val="20"/>
          <w:szCs w:val="20"/>
        </w:rPr>
        <w:tab/>
      </w: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A0" w:rsidRDefault="00E055A0" w:rsidP="009F72A9">
      <w:pPr>
        <w:spacing w:after="0" w:line="240" w:lineRule="auto"/>
      </w:pPr>
      <w:r>
        <w:separator/>
      </w:r>
    </w:p>
  </w:endnote>
  <w:endnote w:type="continuationSeparator" w:id="0">
    <w:p w:rsidR="00E055A0" w:rsidRDefault="00E055A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044015"/>
      <w:docPartObj>
        <w:docPartGallery w:val="Page Numbers (Bottom of Page)"/>
        <w:docPartUnique/>
      </w:docPartObj>
    </w:sdtPr>
    <w:sdtEndPr/>
    <w:sdtContent>
      <w:p w:rsidR="00826A3D" w:rsidRDefault="00826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6A">
          <w:rPr>
            <w:noProof/>
          </w:rPr>
          <w:t>13</w:t>
        </w:r>
        <w:r>
          <w:fldChar w:fldCharType="end"/>
        </w:r>
      </w:p>
    </w:sdtContent>
  </w:sdt>
  <w:p w:rsidR="00826A3D" w:rsidRDefault="0082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A0" w:rsidRDefault="00E055A0" w:rsidP="009F72A9">
      <w:pPr>
        <w:spacing w:after="0" w:line="240" w:lineRule="auto"/>
      </w:pPr>
      <w:r>
        <w:separator/>
      </w:r>
    </w:p>
  </w:footnote>
  <w:footnote w:type="continuationSeparator" w:id="0">
    <w:p w:rsidR="00E055A0" w:rsidRDefault="00E055A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95" w:rsidRDefault="00E055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3D" w:rsidRDefault="00826A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082F49" wp14:editId="7A0AF6C2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03578"/>
    <w:rsid w:val="00014122"/>
    <w:rsid w:val="00025317"/>
    <w:rsid w:val="00036AD8"/>
    <w:rsid w:val="000A5B79"/>
    <w:rsid w:val="000A5E0E"/>
    <w:rsid w:val="000B7007"/>
    <w:rsid w:val="000E23D2"/>
    <w:rsid w:val="000E4702"/>
    <w:rsid w:val="00113699"/>
    <w:rsid w:val="00167856"/>
    <w:rsid w:val="00167AE1"/>
    <w:rsid w:val="00194869"/>
    <w:rsid w:val="001A3A10"/>
    <w:rsid w:val="0021776F"/>
    <w:rsid w:val="00220DFE"/>
    <w:rsid w:val="002732FF"/>
    <w:rsid w:val="00293428"/>
    <w:rsid w:val="002D4D04"/>
    <w:rsid w:val="002E4E5D"/>
    <w:rsid w:val="002E67C7"/>
    <w:rsid w:val="00305819"/>
    <w:rsid w:val="0032516D"/>
    <w:rsid w:val="00330E74"/>
    <w:rsid w:val="00397BDA"/>
    <w:rsid w:val="003B57DB"/>
    <w:rsid w:val="003B712C"/>
    <w:rsid w:val="00407B4F"/>
    <w:rsid w:val="00420AE5"/>
    <w:rsid w:val="00432156"/>
    <w:rsid w:val="004374B7"/>
    <w:rsid w:val="0045038B"/>
    <w:rsid w:val="00482A76"/>
    <w:rsid w:val="00490F03"/>
    <w:rsid w:val="004B3FEC"/>
    <w:rsid w:val="004C517E"/>
    <w:rsid w:val="004F4EE9"/>
    <w:rsid w:val="00500EF5"/>
    <w:rsid w:val="00512312"/>
    <w:rsid w:val="0054731E"/>
    <w:rsid w:val="005814F6"/>
    <w:rsid w:val="00582FD8"/>
    <w:rsid w:val="005A6C56"/>
    <w:rsid w:val="005E5792"/>
    <w:rsid w:val="00604571"/>
    <w:rsid w:val="00610A8C"/>
    <w:rsid w:val="00617F5C"/>
    <w:rsid w:val="006766B5"/>
    <w:rsid w:val="00681890"/>
    <w:rsid w:val="00684A7C"/>
    <w:rsid w:val="00694C91"/>
    <w:rsid w:val="006B7B2C"/>
    <w:rsid w:val="006D087C"/>
    <w:rsid w:val="006F2550"/>
    <w:rsid w:val="007112A6"/>
    <w:rsid w:val="0073304F"/>
    <w:rsid w:val="00757C1A"/>
    <w:rsid w:val="00766650"/>
    <w:rsid w:val="00790B6D"/>
    <w:rsid w:val="007B6568"/>
    <w:rsid w:val="007C3204"/>
    <w:rsid w:val="00826A3D"/>
    <w:rsid w:val="00873894"/>
    <w:rsid w:val="008B37B2"/>
    <w:rsid w:val="008B7458"/>
    <w:rsid w:val="008C3BF8"/>
    <w:rsid w:val="0090436F"/>
    <w:rsid w:val="00922879"/>
    <w:rsid w:val="00933395"/>
    <w:rsid w:val="0093364B"/>
    <w:rsid w:val="00975584"/>
    <w:rsid w:val="009B43F8"/>
    <w:rsid w:val="009D4805"/>
    <w:rsid w:val="009E1D03"/>
    <w:rsid w:val="009E5B9F"/>
    <w:rsid w:val="009F28CC"/>
    <w:rsid w:val="009F72A9"/>
    <w:rsid w:val="00A319C6"/>
    <w:rsid w:val="00A90B4D"/>
    <w:rsid w:val="00AC7476"/>
    <w:rsid w:val="00B119BE"/>
    <w:rsid w:val="00B74A2E"/>
    <w:rsid w:val="00BB01BC"/>
    <w:rsid w:val="00BC6743"/>
    <w:rsid w:val="00BC7FD9"/>
    <w:rsid w:val="00BD66C7"/>
    <w:rsid w:val="00C00D6A"/>
    <w:rsid w:val="00C12065"/>
    <w:rsid w:val="00C40413"/>
    <w:rsid w:val="00C43E82"/>
    <w:rsid w:val="00C52EFC"/>
    <w:rsid w:val="00C97BA2"/>
    <w:rsid w:val="00CF4DD3"/>
    <w:rsid w:val="00D5061E"/>
    <w:rsid w:val="00D52DD9"/>
    <w:rsid w:val="00D72D07"/>
    <w:rsid w:val="00D91DEF"/>
    <w:rsid w:val="00D93AF7"/>
    <w:rsid w:val="00DB69BF"/>
    <w:rsid w:val="00DF4DF2"/>
    <w:rsid w:val="00E01BCC"/>
    <w:rsid w:val="00E055A0"/>
    <w:rsid w:val="00E20A70"/>
    <w:rsid w:val="00EE51B1"/>
    <w:rsid w:val="00EF4D40"/>
    <w:rsid w:val="00F220F9"/>
    <w:rsid w:val="00F62EE1"/>
    <w:rsid w:val="00F70307"/>
    <w:rsid w:val="00FA5AA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141A59-4B3F-4426-BD57-808A62D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3727</Words>
  <Characters>22368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User</cp:lastModifiedBy>
  <cp:revision>2</cp:revision>
  <cp:lastPrinted>2019-03-24T09:41:00Z</cp:lastPrinted>
  <dcterms:created xsi:type="dcterms:W3CDTF">2019-12-17T13:28:00Z</dcterms:created>
  <dcterms:modified xsi:type="dcterms:W3CDTF">2019-12-17T13:28:00Z</dcterms:modified>
</cp:coreProperties>
</file>